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28" w:rsidRPr="00CE1028" w:rsidRDefault="00CE1028" w:rsidP="00CE1028">
      <w:pPr>
        <w:widowControl w:val="0"/>
        <w:autoSpaceDE w:val="0"/>
        <w:autoSpaceDN w:val="0"/>
        <w:adjustRightInd w:val="0"/>
        <w:rPr>
          <w:rFonts w:asciiTheme="minorHAnsi" w:hAnsiTheme="minorHAnsi" w:cs="Tahoma"/>
          <w:lang w:val="en-US" w:eastAsia="en-US"/>
        </w:rPr>
      </w:pPr>
      <w:r>
        <w:rPr>
          <w:rFonts w:asciiTheme="minorHAnsi" w:hAnsiTheme="minorHAnsi" w:cs="Tahoma"/>
          <w:lang w:val="en-US" w:eastAsia="en-US"/>
        </w:rPr>
        <w:t>First Level.  Primary 3.  Lesson 3.   Support Material</w:t>
      </w:r>
      <w:r w:rsidRPr="00CE1028">
        <w:rPr>
          <w:rFonts w:asciiTheme="minorHAnsi" w:hAnsiTheme="minorHAnsi" w:cs="Tahoma"/>
          <w:lang w:val="en-US" w:eastAsia="en-US"/>
        </w:rPr>
        <w:t>: Measuring Lung Capacity</w:t>
      </w:r>
    </w:p>
    <w:p w:rsidR="00CE1028" w:rsidRPr="00CE1028" w:rsidRDefault="00CE1028" w:rsidP="00CE1028">
      <w:pPr>
        <w:widowControl w:val="0"/>
        <w:autoSpaceDE w:val="0"/>
        <w:autoSpaceDN w:val="0"/>
        <w:adjustRightInd w:val="0"/>
        <w:rPr>
          <w:rFonts w:asciiTheme="minorHAnsi" w:hAnsiTheme="minorHAnsi" w:cs="Tahoma"/>
          <w:lang w:val="en-US" w:eastAsia="en-US"/>
        </w:rPr>
      </w:pPr>
    </w:p>
    <w:p w:rsidR="00CE1028" w:rsidRPr="00CE1028" w:rsidRDefault="00CE1028" w:rsidP="00CE1028">
      <w:pPr>
        <w:widowControl w:val="0"/>
        <w:autoSpaceDE w:val="0"/>
        <w:autoSpaceDN w:val="0"/>
        <w:adjustRightInd w:val="0"/>
        <w:rPr>
          <w:rFonts w:asciiTheme="minorHAnsi" w:hAnsiTheme="minorHAnsi" w:cs="Tahoma"/>
          <w:lang w:val="en-US" w:eastAsia="en-US"/>
        </w:rPr>
      </w:pPr>
      <w:r w:rsidRPr="00CE1028">
        <w:rPr>
          <w:rFonts w:asciiTheme="minorHAnsi" w:hAnsiTheme="minorHAnsi" w:cs="Tahoma"/>
          <w:lang w:val="en-US" w:eastAsia="en-US"/>
        </w:rPr>
        <w:t>Resources: (per class)</w:t>
      </w:r>
      <w:bookmarkStart w:id="0" w:name="_GoBack"/>
      <w:bookmarkEnd w:id="0"/>
    </w:p>
    <w:p w:rsidR="00CE1028" w:rsidRPr="00CE1028" w:rsidRDefault="00CE1028" w:rsidP="00CE1028">
      <w:pPr>
        <w:widowControl w:val="0"/>
        <w:autoSpaceDE w:val="0"/>
        <w:autoSpaceDN w:val="0"/>
        <w:adjustRightInd w:val="0"/>
        <w:rPr>
          <w:rFonts w:asciiTheme="minorHAnsi" w:hAnsiTheme="minorHAnsi" w:cs="Tahoma"/>
          <w:color w:val="8500FF"/>
          <w:lang w:val="en-US" w:eastAsia="en-US"/>
        </w:rPr>
      </w:pPr>
    </w:p>
    <w:p w:rsidR="00CE1028" w:rsidRPr="00CE1028" w:rsidRDefault="00CE1028" w:rsidP="00CE1028">
      <w:pPr>
        <w:widowControl w:val="0"/>
        <w:numPr>
          <w:ilvl w:val="0"/>
          <w:numId w:val="1"/>
        </w:numPr>
        <w:tabs>
          <w:tab w:val="left" w:pos="220"/>
          <w:tab w:val="left" w:pos="720"/>
        </w:tabs>
        <w:autoSpaceDE w:val="0"/>
        <w:autoSpaceDN w:val="0"/>
        <w:adjustRightInd w:val="0"/>
        <w:ind w:hanging="72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Large plastic container</w:t>
      </w:r>
    </w:p>
    <w:p w:rsidR="00CE1028" w:rsidRPr="00CE1028" w:rsidRDefault="00CE1028" w:rsidP="00CE1028">
      <w:pPr>
        <w:widowControl w:val="0"/>
        <w:numPr>
          <w:ilvl w:val="0"/>
          <w:numId w:val="1"/>
        </w:numPr>
        <w:tabs>
          <w:tab w:val="left" w:pos="220"/>
          <w:tab w:val="left" w:pos="720"/>
        </w:tabs>
        <w:autoSpaceDE w:val="0"/>
        <w:autoSpaceDN w:val="0"/>
        <w:adjustRightInd w:val="0"/>
        <w:ind w:hanging="72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Plastic tubing</w:t>
      </w:r>
    </w:p>
    <w:p w:rsidR="00CE1028" w:rsidRPr="00CE1028" w:rsidRDefault="00CE1028" w:rsidP="00CE1028">
      <w:pPr>
        <w:widowControl w:val="0"/>
        <w:numPr>
          <w:ilvl w:val="0"/>
          <w:numId w:val="1"/>
        </w:numPr>
        <w:tabs>
          <w:tab w:val="left" w:pos="220"/>
          <w:tab w:val="left" w:pos="720"/>
        </w:tabs>
        <w:autoSpaceDE w:val="0"/>
        <w:autoSpaceDN w:val="0"/>
        <w:adjustRightInd w:val="0"/>
        <w:ind w:hanging="72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Water</w:t>
      </w:r>
    </w:p>
    <w:p w:rsidR="00CE1028" w:rsidRPr="00CE1028" w:rsidRDefault="00CE1028" w:rsidP="00CE1028">
      <w:pPr>
        <w:widowControl w:val="0"/>
        <w:numPr>
          <w:ilvl w:val="0"/>
          <w:numId w:val="1"/>
        </w:numPr>
        <w:tabs>
          <w:tab w:val="left" w:pos="220"/>
          <w:tab w:val="left" w:pos="720"/>
        </w:tabs>
        <w:autoSpaceDE w:val="0"/>
        <w:autoSpaceDN w:val="0"/>
        <w:adjustRightInd w:val="0"/>
        <w:ind w:hanging="72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Masking tape</w:t>
      </w:r>
    </w:p>
    <w:p w:rsidR="00CE1028" w:rsidRPr="00CE1028" w:rsidRDefault="00CE1028" w:rsidP="00CE1028">
      <w:pPr>
        <w:widowControl w:val="0"/>
        <w:numPr>
          <w:ilvl w:val="0"/>
          <w:numId w:val="1"/>
        </w:numPr>
        <w:tabs>
          <w:tab w:val="left" w:pos="220"/>
          <w:tab w:val="left" w:pos="720"/>
        </w:tabs>
        <w:autoSpaceDE w:val="0"/>
        <w:autoSpaceDN w:val="0"/>
        <w:adjustRightInd w:val="0"/>
        <w:ind w:hanging="72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Marker pen</w:t>
      </w:r>
    </w:p>
    <w:p w:rsidR="00CE1028" w:rsidRPr="00CE1028" w:rsidRDefault="00CE1028" w:rsidP="00CE1028">
      <w:pPr>
        <w:widowControl w:val="0"/>
        <w:numPr>
          <w:ilvl w:val="0"/>
          <w:numId w:val="1"/>
        </w:numPr>
        <w:tabs>
          <w:tab w:val="left" w:pos="220"/>
          <w:tab w:val="left" w:pos="720"/>
        </w:tabs>
        <w:autoSpaceDE w:val="0"/>
        <w:autoSpaceDN w:val="0"/>
        <w:adjustRightInd w:val="0"/>
        <w:ind w:hanging="72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Measuring jug</w:t>
      </w:r>
    </w:p>
    <w:p w:rsidR="00CE1028" w:rsidRPr="00CE1028" w:rsidRDefault="00CE1028" w:rsidP="00CE1028">
      <w:pPr>
        <w:widowControl w:val="0"/>
        <w:numPr>
          <w:ilvl w:val="0"/>
          <w:numId w:val="1"/>
        </w:numPr>
        <w:tabs>
          <w:tab w:val="left" w:pos="220"/>
          <w:tab w:val="left" w:pos="720"/>
        </w:tabs>
        <w:autoSpaceDE w:val="0"/>
        <w:autoSpaceDN w:val="0"/>
        <w:adjustRightInd w:val="0"/>
        <w:ind w:hanging="72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Fish tank</w:t>
      </w:r>
    </w:p>
    <w:p w:rsidR="00CE1028" w:rsidRPr="00CE1028" w:rsidRDefault="00CE1028" w:rsidP="00CE1028">
      <w:pPr>
        <w:widowControl w:val="0"/>
        <w:autoSpaceDE w:val="0"/>
        <w:autoSpaceDN w:val="0"/>
        <w:adjustRightInd w:val="0"/>
        <w:rPr>
          <w:rFonts w:asciiTheme="minorHAnsi" w:hAnsiTheme="minorHAnsi" w:cs="Helvetica Neue"/>
          <w:color w:val="262626"/>
          <w:lang w:val="en-US" w:eastAsia="en-US"/>
        </w:rPr>
      </w:pPr>
    </w:p>
    <w:p w:rsidR="00CE1028" w:rsidRPr="00CE1028" w:rsidRDefault="00CE1028" w:rsidP="00CE1028">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Ask the children to plan an investigation into how much air their lungs can take in (inhale) in one breath. Ask the children to predict and make comparisons of the lung capacities of the children in the class (and any adults that are present).</w:t>
      </w:r>
    </w:p>
    <w:p w:rsidR="00CE1028" w:rsidRPr="00CE1028" w:rsidRDefault="00CE1028" w:rsidP="00CE1028">
      <w:pPr>
        <w:widowControl w:val="0"/>
        <w:autoSpaceDE w:val="0"/>
        <w:autoSpaceDN w:val="0"/>
        <w:adjustRightInd w:val="0"/>
        <w:rPr>
          <w:rFonts w:asciiTheme="minorHAnsi" w:hAnsiTheme="minorHAnsi" w:cs="Helvetica Neue"/>
          <w:color w:val="26262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047"/>
      </w:tblGrid>
      <w:tr w:rsidR="00CE1028" w:rsidRPr="00CE1028" w:rsidTr="00902AFD">
        <w:tc>
          <w:tcPr>
            <w:tcW w:w="959"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1.</w:t>
            </w:r>
          </w:p>
        </w:tc>
        <w:tc>
          <w:tcPr>
            <w:tcW w:w="14393"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 xml:space="preserve">Place masking tape on one side of the large container. </w:t>
            </w:r>
            <w:r w:rsidRPr="00CE1028">
              <w:rPr>
                <w:rFonts w:asciiTheme="minorHAnsi" w:hAnsiTheme="minorHAnsi" w:cs="Helvetica Neue"/>
                <w:b/>
                <w:bCs/>
                <w:color w:val="262626"/>
                <w:lang w:val="en-US" w:eastAsia="en-US"/>
              </w:rPr>
              <w:t>Note:</w:t>
            </w:r>
            <w:r w:rsidRPr="00CE1028">
              <w:rPr>
                <w:rFonts w:asciiTheme="minorHAnsi" w:hAnsiTheme="minorHAnsi" w:cs="Helvetica Neue"/>
                <w:color w:val="262626"/>
                <w:lang w:val="en-US" w:eastAsia="en-US"/>
              </w:rPr>
              <w:t xml:space="preserve"> A 2-litre bottle will be large enough for younger children.</w:t>
            </w:r>
          </w:p>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p>
        </w:tc>
      </w:tr>
      <w:tr w:rsidR="00CE1028" w:rsidRPr="00CE1028" w:rsidTr="00902AFD">
        <w:tc>
          <w:tcPr>
            <w:tcW w:w="959"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2.</w:t>
            </w:r>
          </w:p>
        </w:tc>
        <w:tc>
          <w:tcPr>
            <w:tcW w:w="14393"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Fill the large container to the top with water using a measuring jug and label the masking tape at the 250 ml, 500 ml and 750 ml mark etc</w:t>
            </w:r>
            <w:r w:rsidRPr="00CE1028">
              <w:rPr>
                <w:rFonts w:asciiTheme="minorHAnsi" w:hAnsiTheme="minorHAnsi" w:cs="Helvetica Neue"/>
                <w:color w:val="262626"/>
                <w:lang w:val="en-US" w:eastAsia="en-US"/>
              </w:rPr>
              <w:t>.</w:t>
            </w:r>
          </w:p>
        </w:tc>
      </w:tr>
      <w:tr w:rsidR="00CE1028" w:rsidRPr="00CE1028" w:rsidTr="00902AFD">
        <w:tc>
          <w:tcPr>
            <w:tcW w:w="959"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3.</w:t>
            </w:r>
          </w:p>
        </w:tc>
        <w:tc>
          <w:tcPr>
            <w:tcW w:w="14393"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Invert the large container over a larger tank of water, being careful not to let any air into the container (if the bottle has a cap, it’s best to remove this underwater).</w:t>
            </w:r>
          </w:p>
        </w:tc>
      </w:tr>
      <w:tr w:rsidR="00CE1028" w:rsidRPr="00CE1028" w:rsidTr="00902AFD">
        <w:tc>
          <w:tcPr>
            <w:tcW w:w="959"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4.</w:t>
            </w:r>
          </w:p>
        </w:tc>
        <w:tc>
          <w:tcPr>
            <w:tcW w:w="14393"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Insert a piece of plastic tubing fully into the neck of the large container.</w:t>
            </w:r>
          </w:p>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p>
        </w:tc>
      </w:tr>
      <w:tr w:rsidR="00CE1028" w:rsidRPr="00CE1028" w:rsidTr="00902AFD">
        <w:tc>
          <w:tcPr>
            <w:tcW w:w="959"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5.</w:t>
            </w:r>
          </w:p>
        </w:tc>
        <w:tc>
          <w:tcPr>
            <w:tcW w:w="14393"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 xml:space="preserve">Having recorded the level of the water against the scale on the side of the bottle ask the test subject to take a deep breath and blow steadily into the tubing until all the air in their lungs has been expelled. </w:t>
            </w:r>
            <w:r w:rsidRPr="00CE1028">
              <w:rPr>
                <w:rFonts w:asciiTheme="minorHAnsi" w:hAnsiTheme="minorHAnsi" w:cs="Helvetica Neue"/>
                <w:b/>
                <w:bCs/>
                <w:color w:val="262626"/>
                <w:lang w:val="en-US" w:eastAsia="en-US"/>
              </w:rPr>
              <w:t>Note:</w:t>
            </w:r>
            <w:r w:rsidRPr="00CE1028">
              <w:rPr>
                <w:rFonts w:asciiTheme="minorHAnsi" w:hAnsiTheme="minorHAnsi" w:cs="Helvetica Neue"/>
                <w:color w:val="262626"/>
                <w:lang w:val="en-US" w:eastAsia="en-US"/>
              </w:rPr>
              <w:t xml:space="preserve"> If the apparatus is to be used by a number of children, prepare a solution of disinfectant to clean the end of the tube between uses.</w:t>
            </w:r>
          </w:p>
        </w:tc>
      </w:tr>
      <w:tr w:rsidR="00CE1028" w:rsidRPr="00CE1028" w:rsidTr="00902AFD">
        <w:tc>
          <w:tcPr>
            <w:tcW w:w="959"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6.</w:t>
            </w:r>
          </w:p>
        </w:tc>
        <w:tc>
          <w:tcPr>
            <w:tcW w:w="14393" w:type="dxa"/>
          </w:tcPr>
          <w:p w:rsidR="00CE1028" w:rsidRPr="00CE1028" w:rsidRDefault="00CE1028" w:rsidP="00902AFD">
            <w:pPr>
              <w:widowControl w:val="0"/>
              <w:autoSpaceDE w:val="0"/>
              <w:autoSpaceDN w:val="0"/>
              <w:adjustRightInd w:val="0"/>
              <w:rPr>
                <w:rFonts w:asciiTheme="minorHAnsi" w:hAnsiTheme="minorHAnsi" w:cs="Helvetica Neue"/>
                <w:color w:val="262626"/>
                <w:lang w:val="en-US" w:eastAsia="en-US"/>
              </w:rPr>
            </w:pPr>
            <w:r w:rsidRPr="00CE1028">
              <w:rPr>
                <w:rFonts w:asciiTheme="minorHAnsi" w:hAnsiTheme="minorHAnsi" w:cs="Helvetica Neue"/>
                <w:color w:val="262626"/>
                <w:lang w:val="en-US" w:eastAsia="en-US"/>
              </w:rPr>
              <w:t>Record the level of the water against the scale on the side of the bottle and find the difference between this and the starting level – this is the lung capacity.</w:t>
            </w:r>
          </w:p>
        </w:tc>
      </w:tr>
    </w:tbl>
    <w:p w:rsidR="00CE1028" w:rsidRPr="009C435F" w:rsidRDefault="00CE1028" w:rsidP="00CE1028">
      <w:pPr>
        <w:widowControl w:val="0"/>
        <w:autoSpaceDE w:val="0"/>
        <w:autoSpaceDN w:val="0"/>
        <w:adjustRightInd w:val="0"/>
        <w:rPr>
          <w:rFonts w:ascii="Book Antiqua" w:hAnsi="Book Antiqua" w:cs="Helvetica Neue"/>
          <w:color w:val="262626"/>
          <w:sz w:val="26"/>
          <w:szCs w:val="26"/>
          <w:lang w:val="en-US" w:eastAsia="en-US"/>
        </w:rPr>
      </w:pPr>
    </w:p>
    <w:p w:rsidR="00670A59" w:rsidRDefault="00670A59"/>
    <w:sectPr w:rsidR="00670A59" w:rsidSect="00CE102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A4" w:rsidRDefault="007978A4" w:rsidP="00CE1028">
      <w:r>
        <w:separator/>
      </w:r>
    </w:p>
  </w:endnote>
  <w:endnote w:type="continuationSeparator" w:id="0">
    <w:p w:rsidR="007978A4" w:rsidRDefault="007978A4" w:rsidP="00CE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A4" w:rsidRDefault="007978A4" w:rsidP="00CE1028">
      <w:r>
        <w:separator/>
      </w:r>
    </w:p>
  </w:footnote>
  <w:footnote w:type="continuationSeparator" w:id="0">
    <w:p w:rsidR="007978A4" w:rsidRDefault="007978A4" w:rsidP="00CE1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28" w:rsidRPr="00CE1028" w:rsidRDefault="00CE1028">
    <w:pPr>
      <w:pStyle w:val="Header"/>
      <w:rPr>
        <w:rFonts w:asciiTheme="minorHAnsi" w:hAnsiTheme="minorHAnsi"/>
      </w:rPr>
    </w:pPr>
    <w:r w:rsidRPr="00CE1028">
      <w:rPr>
        <w:rFonts w:asciiTheme="minorHAnsi" w:hAnsiTheme="minorHAnsi"/>
        <w:b/>
        <w:sz w:val="28"/>
        <w:szCs w:val="28"/>
      </w:rPr>
      <w:t>Smoke in Your Eyes: A Teaching Resource Exploring Tobacco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28"/>
    <w:rsid w:val="00670A59"/>
    <w:rsid w:val="007978A4"/>
    <w:rsid w:val="00CE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E9E56-BBEB-4673-9276-738E3196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0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028"/>
    <w:pPr>
      <w:tabs>
        <w:tab w:val="center" w:pos="4513"/>
        <w:tab w:val="right" w:pos="9026"/>
      </w:tabs>
    </w:pPr>
  </w:style>
  <w:style w:type="character" w:customStyle="1" w:styleId="HeaderChar">
    <w:name w:val="Header Char"/>
    <w:basedOn w:val="DefaultParagraphFont"/>
    <w:link w:val="Header"/>
    <w:uiPriority w:val="99"/>
    <w:rsid w:val="00CE102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1028"/>
    <w:pPr>
      <w:tabs>
        <w:tab w:val="center" w:pos="4513"/>
        <w:tab w:val="right" w:pos="9026"/>
      </w:tabs>
    </w:pPr>
  </w:style>
  <w:style w:type="character" w:customStyle="1" w:styleId="FooterChar">
    <w:name w:val="Footer Char"/>
    <w:basedOn w:val="DefaultParagraphFont"/>
    <w:link w:val="Footer"/>
    <w:uiPriority w:val="99"/>
    <w:rsid w:val="00CE102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McKechnie</dc:creator>
  <cp:keywords/>
  <dc:description/>
  <cp:lastModifiedBy>Lauren McKechnie</cp:lastModifiedBy>
  <cp:revision>1</cp:revision>
  <dcterms:created xsi:type="dcterms:W3CDTF">2017-03-16T21:10:00Z</dcterms:created>
  <dcterms:modified xsi:type="dcterms:W3CDTF">2017-03-16T21:24:00Z</dcterms:modified>
</cp:coreProperties>
</file>